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docProps/custom.xml" ContentType="application/vnd.openxmlformats-officedocument.custom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0" w:type="dxa"/>
            <w:vAlign w:val="bottom"/>
            <w:gridSpan w:val="2"/>
          </w:tcPr>
          <w:p>
            <w:pPr>
              <w:jc w:val="center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Памятка при организации развивающей предметно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-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  <w:w w:val="99"/>
              </w:rPr>
              <w:t>пространственной среды</w:t>
            </w:r>
          </w:p>
        </w:tc>
      </w:tr>
      <w:tr>
        <w:trPr>
          <w:trHeight w:val="321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40" w:type="dxa"/>
            <w:vAlign w:val="bottom"/>
          </w:tcPr>
          <w:p>
            <w:pPr>
              <w:jc w:val="center"/>
              <w:ind w:right="4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 xml:space="preserve">ДОУ по РЭМП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ФГОС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).</w:t>
            </w:r>
          </w:p>
        </w:tc>
      </w:tr>
      <w:tr>
        <w:trPr>
          <w:trHeight w:val="316"/>
        </w:trPr>
        <w:tc>
          <w:tcPr>
            <w:tcW w:w="10440" w:type="dxa"/>
            <w:vAlign w:val="bottom"/>
            <w:gridSpan w:val="3"/>
          </w:tcPr>
          <w:p>
            <w:pPr>
              <w:spacing w:after="0" w:line="3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Вопрос организации развивающей предметно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-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пространственной среды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РППС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)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ДО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на сегодняшний день стоит особо актуально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Это связано с введением Федерального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государственного образовательного стандарта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ФГОС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)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дошкольного образования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8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1.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РППС обеспечивает максимальную реализацию образовательного потенциала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 xml:space="preserve">пространства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группы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 xml:space="preserve"> материалов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 xml:space="preserve"> оборудования и инвентаря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)</w:t>
            </w:r>
          </w:p>
        </w:tc>
      </w:tr>
      <w:tr>
        <w:trPr>
          <w:trHeight w:val="312"/>
        </w:trPr>
        <w:tc>
          <w:tcPr>
            <w:tcW w:w="10440" w:type="dxa"/>
            <w:vAlign w:val="bottom"/>
            <w:gridSpan w:val="3"/>
          </w:tcPr>
          <w:p>
            <w:pPr>
              <w:spacing w:after="0" w:line="312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1.1.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РППС должна обеспечивать возможность общения и совместную деятельность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детей и взрослых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двигательной активности детей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а также уединения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1.2.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РППС должна обеспечивать реализацию различных образовательных программ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: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организация инклюзивного образования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учёт национально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-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культурных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климатических условий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учёт возрастных особенностей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1.3.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РППС должна быть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:</w:t>
            </w:r>
          </w:p>
        </w:tc>
      </w:tr>
      <w:tr>
        <w:trPr>
          <w:trHeight w:val="34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 Содержательно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-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насыщенной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41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0" w:type="dxa"/>
            <w:vAlign w:val="bottom"/>
            <w:gridSpan w:val="2"/>
          </w:tcPr>
          <w:p>
            <w:pPr>
              <w:ind w:left="120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 Трансформируемой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изменялась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);</w:t>
            </w:r>
          </w:p>
        </w:tc>
      </w:tr>
      <w:tr>
        <w:trPr>
          <w:trHeight w:val="342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 Полифункциональной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мебель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маты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ширмы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модули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);</w:t>
            </w:r>
          </w:p>
        </w:tc>
      </w:tr>
      <w:tr>
        <w:trPr>
          <w:trHeight w:val="341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120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</w:p>
        </w:tc>
        <w:tc>
          <w:tcPr>
            <w:tcW w:w="98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Вариативной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наличие различных пространств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-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для игры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конструирования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</w:p>
        </w:tc>
      </w:tr>
      <w:tr>
        <w:trPr>
          <w:trHeight w:val="323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уединения и др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.);</w:t>
            </w:r>
          </w:p>
        </w:tc>
      </w:tr>
      <w:tr>
        <w:trPr>
          <w:trHeight w:val="341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0" w:type="dxa"/>
            <w:vAlign w:val="bottom"/>
            <w:gridSpan w:val="2"/>
          </w:tcPr>
          <w:p>
            <w:pPr>
              <w:ind w:left="120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 Доступной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для детей с ОВЗ и инвалидов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);</w:t>
            </w:r>
          </w:p>
        </w:tc>
      </w:tr>
      <w:tr>
        <w:trPr>
          <w:trHeight w:val="34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00" w:type="dxa"/>
            <w:vAlign w:val="bottom"/>
            <w:gridSpan w:val="2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 Безопасной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соответствие всех элементов требования по обеспечению</w:t>
            </w:r>
          </w:p>
        </w:tc>
      </w:tr>
      <w:tr>
        <w:trPr>
          <w:trHeight w:val="32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надёжности и безопасности их использования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).</w:t>
            </w:r>
          </w:p>
        </w:tc>
      </w:tr>
      <w:tr>
        <w:trPr>
          <w:trHeight w:val="328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2.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 проектировании РППС по формированию элементарных математических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 xml:space="preserve">представлений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(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ФЭМП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)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 xml:space="preserve"> необходимо выделять следующие основные</w:t>
            </w:r>
          </w:p>
        </w:tc>
      </w:tr>
      <w:tr>
        <w:trPr>
          <w:trHeight w:val="315"/>
        </w:trPr>
        <w:tc>
          <w:tcPr>
            <w:tcW w:w="10440" w:type="dxa"/>
            <w:vAlign w:val="bottom"/>
            <w:gridSpan w:val="3"/>
          </w:tcPr>
          <w:p>
            <w:pPr>
              <w:spacing w:after="0" w:line="314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составляющие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:</w:t>
            </w:r>
          </w:p>
        </w:tc>
      </w:tr>
      <w:tr>
        <w:trPr>
          <w:trHeight w:val="341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120"/>
              <w:spacing w:after="0" w:line="341" w:lineRule="exact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</w:p>
        </w:tc>
        <w:tc>
          <w:tcPr>
            <w:tcW w:w="98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пространство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4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</w:p>
        </w:tc>
        <w:tc>
          <w:tcPr>
            <w:tcW w:w="98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время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4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Symbol" w:cs="Symbol" w:eastAsia="Symbol" w:hAnsi="Symbol"/>
                <w:sz w:val="28"/>
                <w:szCs w:val="28"/>
                <w:color w:val="auto"/>
              </w:rPr>
              <w:t></w:t>
            </w:r>
          </w:p>
        </w:tc>
        <w:tc>
          <w:tcPr>
            <w:tcW w:w="984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предметное окружение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1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Игровое пространство должно иметь свободно определяемые элементы в рамках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игровой площади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которые давали бы простор изобретательству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открытиям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8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Принципы построения развивающей среды в дошкольных учреждениях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:</w:t>
            </w:r>
          </w:p>
        </w:tc>
      </w:tr>
      <w:tr>
        <w:trPr>
          <w:trHeight w:val="316"/>
        </w:trPr>
        <w:tc>
          <w:tcPr>
            <w:tcW w:w="240" w:type="dxa"/>
            <w:vAlign w:val="bottom"/>
          </w:tcPr>
          <w:p>
            <w:pPr>
              <w:spacing w:after="0" w:line="3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1.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 w:line="3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дистанции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позиции при взаимодействии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0"/>
        </w:trPr>
        <w:tc>
          <w:tcPr>
            <w:tcW w:w="24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2.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активности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самостоятельности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творчества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0"/>
        </w:trPr>
        <w:tc>
          <w:tcPr>
            <w:tcW w:w="24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3.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стабильности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динамичности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4.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комплексирования и гибкого зонирования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0"/>
        </w:trPr>
        <w:tc>
          <w:tcPr>
            <w:tcW w:w="24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5.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эмоциогенности среды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индивидуальной комфортности и эмоционального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благополучия каждого ребёнка и взрослого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0"/>
        </w:trPr>
        <w:tc>
          <w:tcPr>
            <w:tcW w:w="24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6.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сочетания привычных и неординарных элементов в эстетической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организации среды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0"/>
        </w:trPr>
        <w:tc>
          <w:tcPr>
            <w:tcW w:w="240" w:type="dxa"/>
            <w:vAlign w:val="bottom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7.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принцип открытости 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–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закрытости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;</w:t>
            </w:r>
          </w:p>
        </w:tc>
      </w:tr>
      <w:tr>
        <w:trPr>
          <w:trHeight w:val="324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8.</w:t>
            </w:r>
          </w:p>
        </w:tc>
        <w:tc>
          <w:tcPr>
            <w:tcW w:w="1020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принцип учёта половых и возрастных различий детей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Все эти принципы должны учитываться при построении развивающей среды с учётом</w:t>
            </w:r>
          </w:p>
        </w:tc>
      </w:tr>
      <w:tr>
        <w:trPr>
          <w:trHeight w:val="324"/>
        </w:trPr>
        <w:tc>
          <w:tcPr>
            <w:tcW w:w="1044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возрастных особенностей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.</w:t>
            </w:r>
          </w:p>
        </w:tc>
      </w:tr>
      <w:tr>
        <w:trPr>
          <w:trHeight w:val="328"/>
        </w:trPr>
        <w:tc>
          <w:tcPr>
            <w:tcW w:w="2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840" w:type="dxa"/>
            <w:vAlign w:val="bottom"/>
          </w:tcPr>
          <w:p>
            <w:pPr>
              <w:jc w:val="center"/>
              <w:ind w:righ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b w:val="1"/>
                <w:bCs w:val="1"/>
                <w:color w:val="auto"/>
              </w:rPr>
              <w:t>Младший возраст</w:t>
            </w:r>
          </w:p>
        </w:tc>
      </w:tr>
      <w:tr>
        <w:trPr>
          <w:trHeight w:val="316"/>
        </w:trPr>
        <w:tc>
          <w:tcPr>
            <w:tcW w:w="10440" w:type="dxa"/>
            <w:vAlign w:val="bottom"/>
            <w:gridSpan w:val="3"/>
          </w:tcPr>
          <w:p>
            <w:pPr>
              <w:spacing w:after="0" w:line="316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В младшем дошкольном возрасте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прежде всего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</w:rPr>
              <w:t xml:space="preserve"> создаётся как комфортная и</w:t>
            </w:r>
          </w:p>
        </w:tc>
      </w:tr>
      <w:tr>
        <w:trPr>
          <w:trHeight w:val="320"/>
        </w:trPr>
        <w:tc>
          <w:tcPr>
            <w:tcW w:w="10440" w:type="dxa"/>
            <w:vAlign w:val="bottom"/>
            <w:gridSpan w:val="3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  <w:w w:val="99"/>
              </w:rPr>
              <w:t>безопасная для ребёнка обстановка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  <w:w w:val="99"/>
              </w:rPr>
              <w:t>.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  <w:w w:val="99"/>
              </w:rPr>
              <w:t xml:space="preserve"> Предметная среда группы организуется так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  <w:w w:val="99"/>
              </w:rPr>
              <w:t>,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color w:val="auto"/>
                <w:w w:val="99"/>
              </w:rPr>
              <w:t xml:space="preserve"> чтобы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10083165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817.95pt" o:allowincell="f" strokecolor="#00000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321945</wp:posOffset>
                </wp:positionV>
                <wp:extent cx="0" cy="1004824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048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35pt" to="26.9pt,816.55pt" o:allowincell="f" strokecolor="#606060" strokeweight="3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7249795</wp:posOffset>
                </wp:positionH>
                <wp:positionV relativeFrom="page">
                  <wp:posOffset>304800</wp:posOffset>
                </wp:positionV>
                <wp:extent cx="0" cy="10083165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0.85pt,24pt" to="570.85pt,817.95pt" o:allowincell="f" strokecolor="#000000" strokeweight="1.4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6953885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71.55pt,24.7pt" o:allowincell="f" strokecolor="#00000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7202805</wp:posOffset>
                </wp:positionH>
                <wp:positionV relativeFrom="page">
                  <wp:posOffset>321945</wp:posOffset>
                </wp:positionV>
                <wp:extent cx="38100" cy="5588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55880"/>
                        </a:xfrm>
                        <a:prstGeom prst="rect">
                          <a:avLst/>
                        </a:prstGeom>
                        <a:solidFill>
                          <a:srgbClr val="60606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5" o:spid="_x0000_s1030" style="position:absolute;margin-left:567.15pt;margin-top:25.35pt;width:3pt;height:4.4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606060" stroked="f">
                <w10:wrap anchorx="page" anchory="page"/>
              </v:rect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340995</wp:posOffset>
                </wp:positionV>
                <wp:extent cx="6918325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3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85pt" to="570.15pt,26.85pt" o:allowincell="f" strokecolor="#606060" strokeweight="3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6842125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1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67.15pt,29.05pt" o:allowincell="f" strokecolor="#C0C0C0" strokeweight="1.4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7221855</wp:posOffset>
                </wp:positionH>
                <wp:positionV relativeFrom="page">
                  <wp:posOffset>377825</wp:posOffset>
                </wp:positionV>
                <wp:extent cx="0" cy="999236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9992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65pt,29.75pt" to="568.65pt,816.55pt" o:allowincell="f" strokecolor="#606060" strokeweight="3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360045</wp:posOffset>
                </wp:positionV>
                <wp:extent cx="0" cy="997204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9972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35pt" to="29.1pt,813.55pt" o:allowincell="f" strokecolor="#C0C0C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10323195</wp:posOffset>
                </wp:positionV>
                <wp:extent cx="6842125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1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812.85pt" to="567.15pt,812.85pt" o:allowincell="f" strokecolor="#C0C0C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7193915</wp:posOffset>
                </wp:positionH>
                <wp:positionV relativeFrom="page">
                  <wp:posOffset>360045</wp:posOffset>
                </wp:positionV>
                <wp:extent cx="0" cy="997204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9972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6.45pt,28.35pt" to="566.45pt,813.55pt" o:allowincell="f" strokecolor="#C0C0C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407670</wp:posOffset>
                </wp:positionV>
                <wp:extent cx="695388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2pt,32.1pt" to="535.55pt,32.1pt" o:allowincell="f" strokecolor="#000000" strokeweight="1.39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379730</wp:posOffset>
                </wp:positionV>
                <wp:extent cx="6918325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3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.5999pt,29.9pt" to="534.15pt,29.9pt" o:allowincell="f" strokecolor="#606060" strokeweight="3pt"/>
            </w:pict>
          </mc:Fallback>
        </mc:AlternateContent>
      </w:r>
    </w:p>
    <w:p>
      <w:pPr>
        <w:sectPr>
          <w:pgSz w:w="11900" w:h="16836" w:orient="portrait"/>
          <w:cols w:equalWidth="0" w:num="1">
            <w:col w:w="10440"/>
          </w:cols>
          <w:pgMar w:left="720" w:top="718" w:right="748" w:bottom="568" w:gutter="0" w:footer="0" w:header="0"/>
        </w:sect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1008316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817.95pt" o:allowincell="f" strokecolor="#00000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321945</wp:posOffset>
                </wp:positionV>
                <wp:extent cx="0" cy="1004824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0482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35pt" to="26.9pt,816.55pt" o:allowincell="f" strokecolor="#606060" strokeweight="3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7249795</wp:posOffset>
                </wp:positionH>
                <wp:positionV relativeFrom="page">
                  <wp:posOffset>304800</wp:posOffset>
                </wp:positionV>
                <wp:extent cx="0" cy="10083165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100831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0.85pt,24pt" to="570.85pt,817.95pt" o:allowincell="f" strokecolor="#000000" strokeweight="1.4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6953885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8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71.55pt,24.7pt" o:allowincell="f" strokecolor="#00000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7202805</wp:posOffset>
                </wp:positionH>
                <wp:positionV relativeFrom="page">
                  <wp:posOffset>321945</wp:posOffset>
                </wp:positionV>
                <wp:extent cx="38100" cy="5588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55880"/>
                        </a:xfrm>
                        <a:prstGeom prst="rect">
                          <a:avLst/>
                        </a:prstGeom>
                        <a:solidFill>
                          <a:srgbClr val="60606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8" o:spid="_x0000_s1043" style="position:absolute;margin-left:567.15pt;margin-top:25.35pt;width:3pt;height:4.4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606060" stroked="f">
                <w10:wrap anchorx="page" anchory="page"/>
              </v:rect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340995</wp:posOffset>
                </wp:positionV>
                <wp:extent cx="6918325" cy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83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85pt" to="570.15pt,26.85pt" o:allowincell="f" strokecolor="#606060" strokeweight="3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684212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1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67.15pt,29.05pt" o:allowincell="f" strokecolor="#C0C0C0" strokeweight="1.4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7221855</wp:posOffset>
                </wp:positionH>
                <wp:positionV relativeFrom="page">
                  <wp:posOffset>377825</wp:posOffset>
                </wp:positionV>
                <wp:extent cx="0" cy="999236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9992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65pt,29.75pt" to="568.65pt,816.55pt" o:allowincell="f" strokecolor="#606060" strokeweight="3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360045</wp:posOffset>
                </wp:positionV>
                <wp:extent cx="0" cy="997204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9972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35pt" to="29.1pt,813.55pt" o:allowincell="f" strokecolor="#C0C0C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10323195</wp:posOffset>
                </wp:positionV>
                <wp:extent cx="6842125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21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812.85pt" to="567.15pt,812.85pt" o:allowincell="f" strokecolor="#C0C0C0" strokeweight="1.3999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7193915</wp:posOffset>
                </wp:positionH>
                <wp:positionV relativeFrom="page">
                  <wp:posOffset>360045</wp:posOffset>
                </wp:positionV>
                <wp:extent cx="0" cy="997204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99720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6.45pt,28.35pt" to="566.45pt,813.55pt" o:allowincell="f" strokecolor="#C0C0C0" strokeweight="1.3999pt">
                <w10:wrap anchorx="page" anchory="page"/>
              </v:line>
            </w:pict>
          </mc:Fallback>
        </mc:AlternateContent>
        <w:t>стимулировать восприятие детей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способствовать развитию анализаторов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подсказывать способы обследования и действий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Для развития мелкой моторики кроме специальных дидактических игрушек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вкладышей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пирамидок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шнуровок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–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нужно включать в обстановку пластиковые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контейнеры с крышками разных форм и размеров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коробки и другие хозяйственные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предметы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Применяя крышки к коробкам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ребёнок накапливает опыт сравнения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величин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форм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цветов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Игра способствует созданию у детей весёлого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жизнерадостного настроения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пробуждает стремление к общению со взрослыми и сверстниками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>
        <w:ind w:left="416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Средний возраст</w:t>
      </w:r>
    </w:p>
    <w:p>
      <w:pPr>
        <w:spacing w:after="0" w:line="235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 среднем дошкольном возрасте важно накапливать опыт совместной со сверстниками</w:t>
      </w:r>
    </w:p>
    <w:p>
      <w:pPr>
        <w:spacing w:after="0" w:line="239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деятельности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развивать познавательную деятельность и поддерживать попытки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творчески отражать впечатления в продуктивных видах деятельности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Среди дидактических игр должны быть игры на сравнение предметов по различным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свойствам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на группировку по свойствам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на воссоздание целого из частей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(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Танграм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Колумбовое яйцо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пазл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разрезные картинки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).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Примерно 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15%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игр должно быть для детей старшей возрастной группы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чтобы дать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возможность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детям не останавливаться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а продвигаться дальше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>
        <w:ind w:left="2820"/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b w:val="1"/>
          <w:bCs w:val="1"/>
          <w:color w:val="auto"/>
        </w:rPr>
        <w:t>Старшая и подготовительная группы</w:t>
      </w:r>
    </w:p>
    <w:p>
      <w:pPr>
        <w:spacing w:after="0" w:line="232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При переходе в старшую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и особенно в подготовительную группу начинает меняться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психофизическая позиция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: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они начинают ощущать себя старше среди детей детского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сада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Важно поддерживать это ощущение такой организацией среды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при которой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ребёнок будет проявлять познавательную активность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самостоятельность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инициативу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В группе специальное место и оборудование для игротеки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: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это и дидактические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развивающие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логико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математические игры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Обязательны тетради на печатной основе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познавательные книги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Игры на развитие умений счётной и вычислительной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деятельности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Игры с правилами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: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домино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лото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шашки и т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д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Таким образом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соблюдая все принципы построения развивающей предметно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-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пространственной среды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нам удастся создать условия для взаимодействия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</w:p>
    <w:p>
      <w:pPr>
        <w:spacing w:after="0" w:line="238" w:lineRule="auto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сотрудничества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,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 xml:space="preserve"> обеспечение максимального комфортного состояния ребенка и его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развития</w:t>
      </w:r>
      <w:r>
        <w:rPr>
          <w:rFonts w:ascii="Times New Roman" w:cs="Times New Roman" w:eastAsia="Times New Roman" w:hAnsi="Times New Roman"/>
          <w:sz w:val="28"/>
          <w:szCs w:val="28"/>
          <w:color w:val="auto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-151765</wp:posOffset>
            </wp:positionH>
            <wp:positionV relativeFrom="paragraph">
              <wp:posOffset>4445</wp:posOffset>
            </wp:positionV>
            <wp:extent cx="6953885" cy="359283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885" cy="359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-151765</wp:posOffset>
            </wp:positionH>
            <wp:positionV relativeFrom="paragraph">
              <wp:posOffset>4445</wp:posOffset>
            </wp:positionV>
            <wp:extent cx="6953885" cy="359283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885" cy="359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6836" w:orient="portrait"/>
      <w:cols w:equalWidth="0" w:num="1">
        <w:col w:w="10460"/>
      </w:cols>
      <w:pgMar w:left="720" w:top="710" w:right="728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  <Relationship Id="rId10" Type="http://schemas.openxmlformats.org/officeDocument/2006/relationships/image" Target="media/image1.png" />
  <Relationship Id="rId11" Type="http://schemas.openxmlformats.org/officeDocument/2006/relationships/image" Target="media/image2.png" />
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0</ap:Words>
  <ap:Characters>3</ap:Characters>
  <ap:Application/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2020-08-09T11:04:16Z</dcterms:created>
  <dcterms:modified xsi:type="dcterms:W3CDTF">2020-08-09T11:04:16Z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/>
</file>