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AC7" w:rsidRPr="00E87AC7" w:rsidRDefault="00E87AC7" w:rsidP="00E87AC7">
      <w:pPr>
        <w:pStyle w:val="a3"/>
        <w:shd w:val="clear" w:color="auto" w:fill="FFFFFF"/>
        <w:spacing w:before="103" w:beforeAutospacing="0" w:after="103" w:afterAutospacing="0" w:line="360" w:lineRule="atLeast"/>
        <w:jc w:val="center"/>
        <w:rPr>
          <w:b/>
          <w:bCs/>
          <w:color w:val="FF0000"/>
          <w:sz w:val="32"/>
          <w:szCs w:val="32"/>
        </w:rPr>
      </w:pPr>
      <w:r w:rsidRPr="00E87AC7">
        <w:rPr>
          <w:b/>
          <w:bCs/>
          <w:color w:val="FF0000"/>
          <w:sz w:val="32"/>
          <w:szCs w:val="32"/>
        </w:rPr>
        <w:t>Консультация для педагогов</w:t>
      </w:r>
    </w:p>
    <w:p w:rsidR="00F57A62" w:rsidRPr="00E87AC7" w:rsidRDefault="00F57A62" w:rsidP="00E87AC7">
      <w:pPr>
        <w:pStyle w:val="a3"/>
        <w:shd w:val="clear" w:color="auto" w:fill="FFFFFF"/>
        <w:spacing w:before="103" w:beforeAutospacing="0" w:after="103" w:afterAutospacing="0" w:line="360" w:lineRule="atLeast"/>
        <w:jc w:val="center"/>
        <w:rPr>
          <w:b/>
          <w:bCs/>
          <w:color w:val="FF0000"/>
          <w:sz w:val="32"/>
          <w:szCs w:val="32"/>
        </w:rPr>
      </w:pPr>
      <w:r w:rsidRPr="00E87AC7">
        <w:rPr>
          <w:b/>
          <w:bCs/>
          <w:color w:val="FF0000"/>
          <w:sz w:val="32"/>
          <w:szCs w:val="32"/>
        </w:rPr>
        <w:t>Тема: «Скатерть самобранка»</w:t>
      </w:r>
      <w:r w:rsidR="00E87AC7">
        <w:rPr>
          <w:b/>
          <w:bCs/>
          <w:color w:val="FF0000"/>
          <w:sz w:val="32"/>
          <w:szCs w:val="32"/>
        </w:rPr>
        <w:t xml:space="preserve">   </w:t>
      </w:r>
    </w:p>
    <w:p w:rsidR="00E87AC7" w:rsidRDefault="00E87AC7" w:rsidP="00E87AC7">
      <w:pPr>
        <w:pStyle w:val="a3"/>
        <w:shd w:val="clear" w:color="auto" w:fill="FFFFFF"/>
        <w:spacing w:before="103" w:beforeAutospacing="0" w:after="103" w:afterAutospacing="0" w:line="360" w:lineRule="atLeast"/>
        <w:jc w:val="center"/>
        <w:rPr>
          <w:color w:val="303F50"/>
          <w:sz w:val="28"/>
          <w:szCs w:val="28"/>
        </w:rPr>
      </w:pPr>
      <w:r>
        <w:rPr>
          <w:color w:val="303F50"/>
          <w:sz w:val="28"/>
          <w:szCs w:val="28"/>
        </w:rPr>
        <w:t xml:space="preserve"> </w:t>
      </w:r>
    </w:p>
    <w:p w:rsidR="00F57A62" w:rsidRPr="00E87AC7" w:rsidRDefault="00F57A62" w:rsidP="00E87AC7">
      <w:pPr>
        <w:pStyle w:val="a3"/>
        <w:shd w:val="clear" w:color="auto" w:fill="FFFFFF"/>
        <w:spacing w:before="103" w:beforeAutospacing="0" w:after="103" w:afterAutospacing="0" w:line="360" w:lineRule="atLeast"/>
        <w:jc w:val="center"/>
        <w:rPr>
          <w:color w:val="303F50"/>
          <w:sz w:val="28"/>
          <w:szCs w:val="28"/>
        </w:rPr>
      </w:pPr>
      <w:r w:rsidRPr="00E87AC7">
        <w:rPr>
          <w:noProof/>
          <w:color w:val="303F50"/>
          <w:sz w:val="28"/>
          <w:szCs w:val="28"/>
        </w:rPr>
        <w:drawing>
          <wp:inline distT="0" distB="0" distL="0" distR="0">
            <wp:extent cx="2549978" cy="1176960"/>
            <wp:effectExtent l="19050" t="0" r="2722" b="0"/>
            <wp:docPr id="1" name="Рисунок 1"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
                    <pic:cNvPicPr>
                      <a:picLocks noChangeAspect="1" noChangeArrowheads="1"/>
                    </pic:cNvPicPr>
                  </pic:nvPicPr>
                  <pic:blipFill>
                    <a:blip r:embed="rId4" cstate="print"/>
                    <a:srcRect/>
                    <a:stretch>
                      <a:fillRect/>
                    </a:stretch>
                  </pic:blipFill>
                  <pic:spPr bwMode="auto">
                    <a:xfrm>
                      <a:off x="0" y="0"/>
                      <a:ext cx="2550169" cy="1177048"/>
                    </a:xfrm>
                    <a:prstGeom prst="rect">
                      <a:avLst/>
                    </a:prstGeom>
                    <a:noFill/>
                    <a:ln w="9525">
                      <a:noFill/>
                      <a:miter lim="800000"/>
                      <a:headEnd/>
                      <a:tailEnd/>
                    </a:ln>
                  </pic:spPr>
                </pic:pic>
              </a:graphicData>
            </a:graphic>
          </wp:inline>
        </w:drawing>
      </w:r>
    </w:p>
    <w:p w:rsidR="00F57A62" w:rsidRPr="00E87AC7" w:rsidRDefault="00F57A62" w:rsidP="00F57A62">
      <w:pPr>
        <w:pStyle w:val="a3"/>
        <w:shd w:val="clear" w:color="auto" w:fill="FFFFFF"/>
        <w:spacing w:before="103" w:beforeAutospacing="0" w:after="103" w:afterAutospacing="0" w:line="360" w:lineRule="atLeast"/>
        <w:rPr>
          <w:color w:val="303F50"/>
          <w:sz w:val="28"/>
          <w:szCs w:val="28"/>
        </w:rPr>
      </w:pPr>
      <w:r w:rsidRPr="00E87AC7">
        <w:rPr>
          <w:color w:val="303F50"/>
          <w:sz w:val="28"/>
          <w:szCs w:val="28"/>
        </w:rPr>
        <w:t>Раннее развитие – это самое благоприятное время для сенсорного воспитания. Сенсорный, чувствительный опыт служит источником познания мира. В раннем детстве малыш особенно чувствителен к сенсорным воздействиям.</w:t>
      </w:r>
    </w:p>
    <w:p w:rsidR="00F57A62" w:rsidRPr="00E87AC7" w:rsidRDefault="00F57A62" w:rsidP="00F57A62">
      <w:pPr>
        <w:pStyle w:val="a3"/>
        <w:shd w:val="clear" w:color="auto" w:fill="FFFFFF"/>
        <w:spacing w:before="0" w:beforeAutospacing="0" w:after="0" w:afterAutospacing="0" w:line="360" w:lineRule="atLeast"/>
        <w:rPr>
          <w:color w:val="303F50"/>
          <w:sz w:val="28"/>
          <w:szCs w:val="28"/>
        </w:rPr>
      </w:pPr>
      <w:r w:rsidRPr="00E87AC7">
        <w:rPr>
          <w:color w:val="303F50"/>
          <w:sz w:val="28"/>
          <w:szCs w:val="28"/>
        </w:rPr>
        <w:t>Цель: Создать условия для развития сенсорно – моторных навыков ребёнка.</w:t>
      </w:r>
      <w:r w:rsidRPr="00E87AC7">
        <w:rPr>
          <w:color w:val="303F50"/>
          <w:sz w:val="28"/>
          <w:szCs w:val="28"/>
        </w:rPr>
        <w:br/>
        <w:t xml:space="preserve">Сенсорное развитие составляет фундамент общего развития ребёнка, успешность которого в значимой степени зависит от того, насколько совершенно ребёнок слышит, видит, осязает окружающее. Создать условия в группе, </w:t>
      </w:r>
      <w:proofErr w:type="spellStart"/>
      <w:r w:rsidRPr="00E87AC7">
        <w:rPr>
          <w:color w:val="303F50"/>
          <w:sz w:val="28"/>
          <w:szCs w:val="28"/>
        </w:rPr>
        <w:t>обезпечивающие</w:t>
      </w:r>
      <w:proofErr w:type="spellEnd"/>
      <w:r w:rsidRPr="00E87AC7">
        <w:rPr>
          <w:color w:val="303F50"/>
          <w:sz w:val="28"/>
          <w:szCs w:val="28"/>
        </w:rPr>
        <w:t xml:space="preserve"> разнообразное использование дидактических игр для сенсорного развития – это цель воспитателя группы. В нашей группе раннего возраста «Гномики» я изготовила для малышей сенсорный стол «Скатерть самобранка», для сенсорного развития, который поможет воспитателю осуществлять следующие задачи:</w:t>
      </w:r>
      <w:r w:rsidRPr="00E87AC7">
        <w:rPr>
          <w:color w:val="303F50"/>
          <w:sz w:val="28"/>
          <w:szCs w:val="28"/>
        </w:rPr>
        <w:br/>
        <w:t>1. Обогащать сенсорный опыт детей;</w:t>
      </w:r>
      <w:r w:rsidRPr="00E87AC7">
        <w:rPr>
          <w:color w:val="303F50"/>
          <w:sz w:val="28"/>
          <w:szCs w:val="28"/>
        </w:rPr>
        <w:br/>
        <w:t>2. Развивать аналитические способности (умение сравнивать, различать предметы по одному из сенсорных признаков – цвет, форма, величина);</w:t>
      </w:r>
      <w:r w:rsidRPr="00E87AC7">
        <w:rPr>
          <w:color w:val="303F50"/>
          <w:sz w:val="28"/>
          <w:szCs w:val="28"/>
        </w:rPr>
        <w:br/>
        <w:t>3. Развивать внимание, память;</w:t>
      </w:r>
      <w:r w:rsidRPr="00E87AC7">
        <w:rPr>
          <w:color w:val="303F50"/>
          <w:sz w:val="28"/>
          <w:szCs w:val="28"/>
        </w:rPr>
        <w:br/>
        <w:t>4. Развивать мелкую моторику.</w:t>
      </w:r>
    </w:p>
    <w:p w:rsidR="00F57A62" w:rsidRPr="00E87AC7" w:rsidRDefault="00F57A62" w:rsidP="00F57A62">
      <w:pPr>
        <w:pStyle w:val="a3"/>
        <w:shd w:val="clear" w:color="auto" w:fill="FFFFFF"/>
        <w:spacing w:before="103" w:beforeAutospacing="0" w:after="103" w:afterAutospacing="0" w:line="360" w:lineRule="atLeast"/>
        <w:rPr>
          <w:color w:val="303F50"/>
          <w:sz w:val="28"/>
          <w:szCs w:val="28"/>
        </w:rPr>
      </w:pPr>
      <w:r w:rsidRPr="00E87AC7">
        <w:rPr>
          <w:color w:val="303F50"/>
          <w:sz w:val="28"/>
          <w:szCs w:val="28"/>
        </w:rPr>
        <w:t xml:space="preserve">В процессе создания сенсорной зоны я отдала предпочтение не приобретению готовых материалов, а играм, сделанных своими руками. На каждой стороне скатерти есть кармашки, куда малыши могут «прятать», раскладывать, перекладывать различный игрушки (любого размера, формы), погремушки (любого цвета). На самой скатерти нашила замочки, пуговки, липучки, есть шнуровка. В дидактических играх я стремлюсь заинтересовать малышей через яркий образ предметов, сюрпризные моменты, эмоциональную речь воспитателя. Работа с ребятами проводится в основном индивидуально или подгруппой состоящей из 2-3 детей. Подборка игр разнообразна: на узнавание, называние и закрепление цвета, группировку однородных и разнородных предметов по цвету, форме, величине, закрепление величины предметов, геометрических форм и мелкая моторика. Считаю, что все </w:t>
      </w:r>
      <w:proofErr w:type="gramStart"/>
      <w:r w:rsidRPr="00E87AC7">
        <w:rPr>
          <w:color w:val="303F50"/>
          <w:sz w:val="28"/>
          <w:szCs w:val="28"/>
        </w:rPr>
        <w:t>игры</w:t>
      </w:r>
      <w:proofErr w:type="gramEnd"/>
      <w:r w:rsidRPr="00E87AC7">
        <w:rPr>
          <w:color w:val="303F50"/>
          <w:sz w:val="28"/>
          <w:szCs w:val="28"/>
        </w:rPr>
        <w:t xml:space="preserve"> сделанные своими руками, должны быть выполнены эстетически. Используя разнообразные дидактические игры, для налаживания сенсорного опыта детей, я заметила, что дети легче адаптируются к условиям детского сада, они увереннее накапливают представление о цвете, форме, величине. Используя сенсорную зону в </w:t>
      </w:r>
      <w:r w:rsidRPr="00E87AC7">
        <w:rPr>
          <w:color w:val="303F50"/>
          <w:sz w:val="28"/>
          <w:szCs w:val="28"/>
        </w:rPr>
        <w:lastRenderedPageBreak/>
        <w:t xml:space="preserve">свободной деятельности с детьми, я убедилась в том, что </w:t>
      </w:r>
      <w:proofErr w:type="gramStart"/>
      <w:r w:rsidRPr="00E87AC7">
        <w:rPr>
          <w:color w:val="303F50"/>
          <w:sz w:val="28"/>
          <w:szCs w:val="28"/>
        </w:rPr>
        <w:t>играя</w:t>
      </w:r>
      <w:proofErr w:type="gramEnd"/>
      <w:r w:rsidRPr="00E87AC7">
        <w:rPr>
          <w:color w:val="303F50"/>
          <w:sz w:val="28"/>
          <w:szCs w:val="28"/>
        </w:rPr>
        <w:t xml:space="preserve"> дети лучше усваивают программный материал. У малышей вырабатывается хорошее настроение.</w:t>
      </w:r>
    </w:p>
    <w:p w:rsidR="00F57A62" w:rsidRPr="00E87AC7" w:rsidRDefault="00F57A62" w:rsidP="00F57A62">
      <w:pPr>
        <w:pStyle w:val="a3"/>
        <w:shd w:val="clear" w:color="auto" w:fill="FFFFFF"/>
        <w:spacing w:before="103" w:beforeAutospacing="0" w:after="103" w:afterAutospacing="0" w:line="360" w:lineRule="atLeast"/>
        <w:rPr>
          <w:color w:val="303F50"/>
          <w:sz w:val="28"/>
          <w:szCs w:val="28"/>
        </w:rPr>
      </w:pPr>
      <w:r w:rsidRPr="00E87AC7">
        <w:rPr>
          <w:noProof/>
          <w:color w:val="303F50"/>
          <w:sz w:val="28"/>
          <w:szCs w:val="28"/>
        </w:rPr>
        <w:drawing>
          <wp:inline distT="0" distB="0" distL="0" distR="0">
            <wp:extent cx="2016578" cy="2427514"/>
            <wp:effectExtent l="19050" t="0" r="2722" b="0"/>
            <wp:docPr id="2" name="Рисунок 2"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1"/>
                    <pic:cNvPicPr>
                      <a:picLocks noChangeAspect="1" noChangeArrowheads="1"/>
                    </pic:cNvPicPr>
                  </pic:nvPicPr>
                  <pic:blipFill>
                    <a:blip r:embed="rId5" cstate="print"/>
                    <a:srcRect/>
                    <a:stretch>
                      <a:fillRect/>
                    </a:stretch>
                  </pic:blipFill>
                  <pic:spPr bwMode="auto">
                    <a:xfrm>
                      <a:off x="0" y="0"/>
                      <a:ext cx="2016519" cy="2427443"/>
                    </a:xfrm>
                    <a:prstGeom prst="rect">
                      <a:avLst/>
                    </a:prstGeom>
                    <a:noFill/>
                    <a:ln w="9525">
                      <a:noFill/>
                      <a:miter lim="800000"/>
                      <a:headEnd/>
                      <a:tailEnd/>
                    </a:ln>
                  </pic:spPr>
                </pic:pic>
              </a:graphicData>
            </a:graphic>
          </wp:inline>
        </w:drawing>
      </w:r>
    </w:p>
    <w:p w:rsidR="00F57A62" w:rsidRPr="00E87AC7" w:rsidRDefault="00F57A62" w:rsidP="00F57A62">
      <w:pPr>
        <w:pStyle w:val="a3"/>
        <w:shd w:val="clear" w:color="auto" w:fill="FFFFFF"/>
        <w:spacing w:before="103" w:beforeAutospacing="0" w:after="103" w:afterAutospacing="0" w:line="360" w:lineRule="atLeast"/>
        <w:rPr>
          <w:color w:val="303F50"/>
          <w:sz w:val="28"/>
          <w:szCs w:val="28"/>
        </w:rPr>
      </w:pPr>
      <w:r w:rsidRPr="00E87AC7">
        <w:rPr>
          <w:color w:val="303F50"/>
          <w:sz w:val="28"/>
          <w:szCs w:val="28"/>
        </w:rPr>
        <w:t>Подводя итог, можно сказать, совершенствование сенсорного опыта включает большое количество взаимосвязанных задач. Продолжаю работу по использованию технологий по сенсорному развитию.</w:t>
      </w:r>
    </w:p>
    <w:p w:rsidR="001B514A" w:rsidRPr="00E87AC7" w:rsidRDefault="001B514A">
      <w:pPr>
        <w:rPr>
          <w:rFonts w:ascii="Times New Roman" w:hAnsi="Times New Roman" w:cs="Times New Roman"/>
          <w:sz w:val="28"/>
          <w:szCs w:val="28"/>
        </w:rPr>
      </w:pPr>
    </w:p>
    <w:sectPr w:rsidR="001B514A" w:rsidRPr="00E87AC7" w:rsidSect="00E87AC7">
      <w:pgSz w:w="11906" w:h="16838"/>
      <w:pgMar w:top="851" w:right="707" w:bottom="1134" w:left="85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F57A62"/>
    <w:rsid w:val="001B514A"/>
    <w:rsid w:val="00DA4CEE"/>
    <w:rsid w:val="00E87AC7"/>
    <w:rsid w:val="00F57A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1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7A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57A6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57A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142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382</Words>
  <Characters>2183</Characters>
  <Application>Microsoft Office Word</Application>
  <DocSecurity>0</DocSecurity>
  <Lines>18</Lines>
  <Paragraphs>5</Paragraphs>
  <ScaleCrop>false</ScaleCrop>
  <Company/>
  <LinksUpToDate>false</LinksUpToDate>
  <CharactersWithSpaces>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4</cp:revision>
  <dcterms:created xsi:type="dcterms:W3CDTF">2023-04-10T13:53:00Z</dcterms:created>
  <dcterms:modified xsi:type="dcterms:W3CDTF">2023-04-11T02:17:00Z</dcterms:modified>
</cp:coreProperties>
</file>