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2012874666"/>
        <w:docPartObj>
          <w:docPartGallery w:val="Cover Pages"/>
          <w:docPartUnique/>
        </w:docPartObj>
      </w:sdtPr>
      <w:sdtEndPr>
        <w:rPr>
          <w:rFonts w:ascii="Times New Roman" w:eastAsiaTheme="minorEastAsia" w:hAnsi="Times New Roman" w:cs="Times New Roman"/>
          <w:b/>
          <w:color w:val="002060"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894"/>
          </w:tblGrid>
          <w:tr w:rsidR="00B208D1" w:rsidTr="00B208D1">
            <w:trPr>
              <w:trHeight w:val="717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4D8DC6156AF245779DF01145E36C98AE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Times New Roman" w:hAnsi="Times New Roman" w:cs="Times New Roman"/>
                  <w:b/>
                  <w:sz w:val="36"/>
                  <w:szCs w:val="36"/>
                </w:rPr>
              </w:sdtEnd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208D1" w:rsidRDefault="00B208D1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r w:rsidRPr="00B208D1">
                      <w:rPr>
                        <w:rFonts w:ascii="Times New Roman" w:eastAsia="Times New Roman" w:hAnsi="Times New Roman" w:cs="Times New Roman"/>
                        <w:b/>
                        <w:sz w:val="36"/>
                        <w:szCs w:val="36"/>
                      </w:rPr>
                      <w:t xml:space="preserve"> Консультация для родителей</w:t>
                    </w:r>
                  </w:p>
                </w:tc>
              </w:sdtContent>
            </w:sdt>
          </w:tr>
          <w:tr w:rsidR="00B208D1" w:rsidTr="00B208D1">
            <w:trPr>
              <w:trHeight w:val="2129"/>
            </w:trPr>
            <w:tc>
              <w:tcPr>
                <w:tcW w:w="7668" w:type="dxa"/>
              </w:tcPr>
              <w:sdt>
                <w:sdtPr>
                  <w:rPr>
                    <w:rFonts w:ascii="Times New Roman" w:hAnsi="Times New Roman" w:cs="Times New Roman"/>
                    <w:b/>
                    <w:color w:val="002060"/>
                    <w:sz w:val="56"/>
                    <w:szCs w:val="56"/>
                  </w:rPr>
                  <w:alias w:val="Название"/>
                  <w:id w:val="13406919"/>
                  <w:placeholder>
                    <w:docPart w:val="CEE628D21D24436681B6A58C23F31B5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B208D1" w:rsidRDefault="00B208D1">
                    <w:pPr>
                      <w:pStyle w:val="a7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B208D1">
                      <w:rPr>
                        <w:rFonts w:ascii="Times New Roman" w:hAnsi="Times New Roman" w:cs="Times New Roman"/>
                        <w:b/>
                        <w:color w:val="002060"/>
                        <w:sz w:val="56"/>
                        <w:szCs w:val="56"/>
                      </w:rPr>
                      <w:t>«Подвижная игра как средство всестороннего развития личности ребенка»</w:t>
                    </w:r>
                  </w:p>
                </w:sdtContent>
              </w:sdt>
            </w:tc>
          </w:tr>
          <w:tr w:rsidR="00B208D1" w:rsidTr="00B208D1">
            <w:trPr>
              <w:trHeight w:val="740"/>
            </w:trPr>
            <w:sdt>
              <w:sdtPr>
                <w:rPr>
                  <w:rFonts w:ascii="Times New Roman" w:eastAsia="Times New Roman" w:hAnsi="Times New Roman" w:cs="Times New Roman"/>
                  <w:b/>
                  <w:sz w:val="36"/>
                  <w:szCs w:val="36"/>
                </w:rPr>
                <w:alias w:val="Подзаголовок"/>
                <w:id w:val="13406923"/>
                <w:placeholder>
                  <w:docPart w:val="5C3CCE7EC37D44F5BB5E9846B92BC329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6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B208D1" w:rsidRDefault="005B398D" w:rsidP="005B398D">
                    <w:pPr>
                      <w:pStyle w:val="a7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36"/>
                        <w:szCs w:val="36"/>
                      </w:rPr>
                      <w:t xml:space="preserve"> Подготовил</w:t>
                    </w:r>
                    <w:r w:rsidR="00B208D1" w:rsidRPr="00B208D1">
                      <w:rPr>
                        <w:rFonts w:ascii="Times New Roman" w:eastAsia="Times New Roman" w:hAnsi="Times New Roman" w:cs="Times New Roman"/>
                        <w:b/>
                        <w:sz w:val="36"/>
                        <w:szCs w:val="36"/>
                      </w:rPr>
                      <w:t xml:space="preserve">: </w:t>
                    </w:r>
                    <w:r>
                      <w:rPr>
                        <w:rFonts w:ascii="Times New Roman" w:eastAsia="Times New Roman" w:hAnsi="Times New Roman" w:cs="Times New Roman"/>
                        <w:b/>
                        <w:sz w:val="36"/>
                        <w:szCs w:val="36"/>
                      </w:rPr>
                      <w:t>педагог-психолог Ильиных И.А.</w:t>
                    </w:r>
                    <w:r w:rsidR="00B208D1" w:rsidRPr="00B208D1">
                      <w:rPr>
                        <w:rFonts w:ascii="Times New Roman" w:eastAsia="Times New Roman" w:hAnsi="Times New Roman" w:cs="Times New Roman"/>
                        <w:b/>
                        <w:sz w:val="36"/>
                        <w:szCs w:val="36"/>
                      </w:rPr>
                      <w:t xml:space="preserve"> </w:t>
                    </w:r>
                  </w:p>
                </w:tc>
              </w:sdtContent>
            </w:sdt>
          </w:tr>
        </w:tbl>
        <w:p w:rsidR="00B208D1" w:rsidRPr="00B208D1" w:rsidRDefault="00B208D1" w:rsidP="00B208D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B208D1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B208D1" w:rsidRPr="00B208D1" w:rsidRDefault="00B208D1" w:rsidP="00B208D1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B208D1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B208D1" w:rsidRDefault="00B208D1"/>
        <w:p w:rsidR="00B208D1" w:rsidRDefault="00B208D1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894"/>
          </w:tblGrid>
          <w:tr w:rsidR="00B208D1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5E8DBD172A2849F89768F673EDCB2962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B208D1" w:rsidRDefault="00B208D1">
                    <w:pPr>
                      <w:pStyle w:val="a7"/>
                      <w:rPr>
                        <w:color w:val="4F81BD" w:themeColor="accent1"/>
                      </w:rPr>
                    </w:pPr>
                    <w:r w:rsidRPr="00B208D1">
                      <w:rPr>
                        <w:color w:val="FFFFFF" w:themeColor="background1"/>
                      </w:rPr>
                      <w:t>[Введите имя автора]</w:t>
                    </w:r>
                  </w:p>
                </w:sdtContent>
              </w:sdt>
              <w:sdt>
                <w:sdtPr>
                  <w:rPr>
                    <w:rFonts w:ascii="Times New Roman" w:eastAsia="Times New Roman" w:hAnsi="Times New Roman" w:cs="Times New Roman"/>
                    <w:b/>
                    <w:sz w:val="32"/>
                    <w:szCs w:val="32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B208D1" w:rsidRPr="00B208D1" w:rsidRDefault="00B208D1" w:rsidP="00B208D1">
                    <w:pPr>
                      <w:pStyle w:val="a7"/>
                      <w:jc w:val="center"/>
                      <w:rPr>
                        <w:color w:val="4F81BD" w:themeColor="accent1"/>
                        <w:sz w:val="32"/>
                        <w:szCs w:val="32"/>
                      </w:rPr>
                    </w:pPr>
                    <w:r w:rsidRPr="00B208D1">
                      <w:rPr>
                        <w:rFonts w:ascii="Times New Roman" w:eastAsia="Times New Roman" w:hAnsi="Times New Roman" w:cs="Times New Roman"/>
                        <w:b/>
                        <w:sz w:val="32"/>
                        <w:szCs w:val="32"/>
                      </w:rPr>
                      <w:t xml:space="preserve"> Павловск 2020г. </w:t>
                    </w:r>
                  </w:p>
                </w:sdtContent>
              </w:sdt>
              <w:p w:rsidR="00B208D1" w:rsidRDefault="00B208D1">
                <w:pPr>
                  <w:pStyle w:val="a7"/>
                  <w:rPr>
                    <w:color w:val="4F81BD" w:themeColor="accent1"/>
                  </w:rPr>
                </w:pPr>
              </w:p>
            </w:tc>
          </w:tr>
        </w:tbl>
        <w:p w:rsidR="00B208D1" w:rsidRDefault="00B208D1"/>
        <w:p w:rsidR="00B208D1" w:rsidRDefault="00B208D1">
          <w:pPr>
            <w:rPr>
              <w:rFonts w:ascii="Times New Roman" w:hAnsi="Times New Roman" w:cs="Times New Roman"/>
              <w:b/>
              <w:color w:val="002060"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color w:val="002060"/>
              <w:sz w:val="40"/>
              <w:szCs w:val="40"/>
            </w:rPr>
            <w:br w:type="page"/>
          </w:r>
        </w:p>
      </w:sdtContent>
      <w:bookmarkStart w:id="0" w:name="_GoBack" w:displacedByCustomXml="next"/>
      <w:bookmarkEnd w:id="0" w:displacedByCustomXml="next"/>
    </w:sdt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lastRenderedPageBreak/>
        <w:t>Описание материала: Данная консультация для родителей поможет полно разъяснить о важности подвижных игр</w:t>
      </w:r>
      <w:r w:rsidR="00D83F52">
        <w:rPr>
          <w:rFonts w:ascii="Times New Roman" w:hAnsi="Times New Roman" w:cs="Times New Roman"/>
          <w:sz w:val="28"/>
          <w:szCs w:val="28"/>
        </w:rPr>
        <w:t>,</w:t>
      </w:r>
      <w:r w:rsidRPr="00D83F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способствующим</w:t>
      </w:r>
      <w:proofErr w:type="gramEnd"/>
      <w:r w:rsidR="00D83F52">
        <w:rPr>
          <w:rFonts w:ascii="Times New Roman" w:hAnsi="Times New Roman" w:cs="Times New Roman"/>
          <w:sz w:val="28"/>
          <w:szCs w:val="28"/>
        </w:rPr>
        <w:t>,</w:t>
      </w:r>
      <w:r w:rsidRPr="00D83F52">
        <w:rPr>
          <w:rFonts w:ascii="Times New Roman" w:hAnsi="Times New Roman" w:cs="Times New Roman"/>
          <w:sz w:val="28"/>
          <w:szCs w:val="28"/>
        </w:rPr>
        <w:t xml:space="preserve"> как развитию физических и умственных способностей, так и освоению нравственных норм, правил поведения, этических ценностей общества.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Подвижная игра —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 Глубокий смысл подвижных игр - в их полноценной роли в физической и духовной жизни, существующей в истории и культуре каждого народа.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Подвижную игру можно назвать важнейшим воспитательным институтом, способствующим как развитию физических и умственных способностей, так и освоению нравственных норм, правил поведения, этических ценностей общества. Подвижные игры являются одним из условий развития культуры ребенка. В них он осмысливает и познает окружающий мир, в них развивается его интеллект, фантазия, воображение, формируются социальные качества. Являясь важным средством физического воспитания, подвижная игра одновременно оказывает оздоровительное воздействие на организм ребенка. Это в свою очередь оказывает благотворное влияние на психическую деятельность.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Велика роль подвижной игры в умственном воспитании ребенка: дети учатся действовать в соответствии с правилами, овладевать пространственной терминологией, осознанно действовать в изменившейся игровой ситуации и познавать окружающий мир. В процессе игры активизируются память, представления, развиваются мышление, воображение, увеличивается словарный запас, обогащается речь детей. Большое значение имеют подвижные игры и для нравственного воспитания.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Дети учатся действовать в коллективе, подчиняться общим требованиям. Правила игры дети воспринимают как закон, и сознательное выполнение их формирует волю, развивает самообладание, выдержку, умение контролировать свои поступки, свое поведение. В игре формируется честность, дисциплинированность, справедливость. Умелое, вдумчивое руководство игрой со стороны педагога способствует воспитанию активной творческой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личности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подвижных играх совершенствуется эстетическое восприятие мира. Дети познают красоту движений, их образность, у них развивается чувство ритма. Они овладевают поэтической образной речью.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lastRenderedPageBreak/>
        <w:t xml:space="preserve">Подвижная игра готовит ребенка к труду: дети изготавливают игровые атрибуты, располагают и убирают их в определенной последовательности, совершенствуют свои двигательные навыки, необходимые для будущей трудовой деятельности. Источником подвижных игр с правилами являются народные игры, для которых характерны яркость замысла, содержательность, простота и занимательность. Подвижные игры делят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элементарные и сложные. Элементарные в свою очередь делят на сюжетные и бессюжетные, игры-забавы, аттракционы. Сюжетные игры имеют готовый сюжет и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твердо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зафиксированные правила. Сюжет отражает явления окружающей жизни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гровые действия связаны с развитием сюжета и с ролью, которую выполняет ребенок. Правила обусловливают начало и прекращение движения, определяют поведение и взаимоотношения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играющих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>, уточняют ход игры. Подчинение правилам обязательно для всех. Сюжетные подвижные иг</w:t>
      </w:r>
      <w:r w:rsidR="00D83F52">
        <w:rPr>
          <w:rFonts w:ascii="Times New Roman" w:hAnsi="Times New Roman" w:cs="Times New Roman"/>
          <w:sz w:val="28"/>
          <w:szCs w:val="28"/>
        </w:rPr>
        <w:t xml:space="preserve">ры преимущественно </w:t>
      </w:r>
      <w:proofErr w:type="spellStart"/>
      <w:r w:rsidR="00D83F52">
        <w:rPr>
          <w:rFonts w:ascii="Times New Roman" w:hAnsi="Times New Roman" w:cs="Times New Roman"/>
          <w:sz w:val="28"/>
          <w:szCs w:val="28"/>
        </w:rPr>
        <w:t>коллективные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>гры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этого вида используются во всех возрастных группах. Бессюжетные подвижные игры не имеют сюжета, образов, но сходны с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сюжетными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наличием правил, ролей, взаимообусловленностью игровых действий всех участников. Эти игры связаны с выполнением конкретного двигательного задания и требуют от детей большой самостоятельности, быстроты, ловкости, ориентировки в пространстве.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К сложным играм относятся спортивные игры (городки, бадминтон, настольный теннис, баскетбол, волейбол, футбол, хоккей).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В дошкольном возрасте используются элементы этих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игр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и дети играют по упрощенным правилам. Подвижные игры различаются и по их двигательному содержанию: игры с бегом, прыжками, метанием и др.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По степени физической нагрузки, которую получает каждый играющий, различают игры большой, средней и малой подвижности. Истоки подвижных игр уходят корнями в глубокую древность. История появления игр позволяет понять их воспитательное значение.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Игра была спутником человека с незапамятных времен. В ней культуры разных народов демонстрируют сходство и огромное многообразие. Е. А. Покровский утверждал, что игры во все времена и у всех народов были непременно. Многие из игр представляли собою большую оригинальность, смотря по свойствам и образу жизни народа. Справедливо также мнение Н. С. Воловик о том, что назначение древних игр — не развлекательное, а практическое. Действиями игры и словами песни люди пытались обеспечить себе будущий успех в предстоящих работах. Глубокий анализ педагогической и психологической литературы по вопросу исторического происхождения игры </w:t>
      </w:r>
      <w:r w:rsidRPr="00D83F52">
        <w:rPr>
          <w:rFonts w:ascii="Times New Roman" w:hAnsi="Times New Roman" w:cs="Times New Roman"/>
          <w:sz w:val="28"/>
          <w:szCs w:val="28"/>
        </w:rPr>
        <w:lastRenderedPageBreak/>
        <w:t xml:space="preserve">провел Д. Б.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, который отмечал, что «вопрос об историческом возникновении игры тесно связан с характером воспитания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подрастающихпоколений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в обществах, стоящих на низших уровнях развития производства и культуры». Уже в наиболее ранних этнографических и географических описаниях русских путешественников имеются указания на приучение маленьких детей к выполнению трудовых обязанностей и включение их в производительный труд взрослых. Так, Г. Новицкий в описании остяцкого народа писал, что во всех играх общим являлись ловля птиц, рыбы, охота на зверя. Дети, чтобы прокормиться, учились стрелять из лука, ловить птиц и рыбу. Орудия зависели от того, какая отрасль труда являлась основной в данном обществе.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Согласно теории, развитой К. Гроссом, игры служат средством для упражнения различных физических и психических сил. Если наблюдать за играми молодых животных и за играми детей, то этот факт выступает с полной ясностью: игры всюду служат средством для упражнения и развития органов движения, органов чувств - особенно зрения, а в то же время и для развития внимания, наблюдательности, часто и мышления. Воспитательная и художественная ценности подвижной игры сохранились до настоящего времени.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>В педагогической истории России подвижным играм придавалось большое значение. Они рассматривались как основа физического вос</w:t>
      </w:r>
      <w:r w:rsidR="00D83F52">
        <w:rPr>
          <w:rFonts w:ascii="Times New Roman" w:hAnsi="Times New Roman" w:cs="Times New Roman"/>
          <w:sz w:val="28"/>
          <w:szCs w:val="28"/>
        </w:rPr>
        <w:t xml:space="preserve">питания. Во второй половине </w:t>
      </w:r>
      <w:proofErr w:type="spellStart"/>
      <w:r w:rsidR="00D83F52">
        <w:rPr>
          <w:rFonts w:ascii="Times New Roman" w:hAnsi="Times New Roman" w:cs="Times New Roman"/>
          <w:sz w:val="28"/>
          <w:szCs w:val="28"/>
        </w:rPr>
        <w:t>XIX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. появляются работы виднейших педагогов Н.И.Пирогова, позднее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Е.Н.Водовозова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, П. Ф.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Каптерева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и др. В них подчеркивается первостепенное значение подвижной игры как деятельности, отвечающей возрастным потребностям ребенка. Основатель российской системы физического воспитания П.Ф.Лесгафт отводил подвижной игре большое место. Он указывал на наличие в подвижной игре определенной цели. Рекомендовал постепенно усложнять содержание и правила игры. По утверждению П.Ф. Лесгафта, систематическое проведение подвижных игр развивает у ребенка умение управлять своими движениями, дисциплинирует его тело. Идеи П.Ф. Лесгафта успешно претворялись в жизнь его последователями и учениками (В.В.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Гориневским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, Е.А. Аркиным). В.В.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Гориневский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рассматривал подвижную игру как средство формирования личности ребенка. Он придавал огромное значение оздоровительной направленности положительных эмоций, которые ребенок испытывает в игре. Серьезные требования В.В.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Гориневский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предъявлял воспитательной ценности сюжета игры, методике ее проведения. Он требовал от воспитателя эмоциональности, эстетики движений, индивидуального подхода к ребенку,</w:t>
      </w:r>
      <w:r w:rsidR="00D83F52">
        <w:rPr>
          <w:rFonts w:ascii="Times New Roman" w:hAnsi="Times New Roman" w:cs="Times New Roman"/>
          <w:sz w:val="28"/>
          <w:szCs w:val="28"/>
        </w:rPr>
        <w:t xml:space="preserve"> точного соблюдения правил игры</w:t>
      </w:r>
      <w:r w:rsidRPr="00D83F52">
        <w:rPr>
          <w:rFonts w:ascii="Times New Roman" w:hAnsi="Times New Roman" w:cs="Times New Roman"/>
          <w:sz w:val="28"/>
          <w:szCs w:val="28"/>
        </w:rPr>
        <w:t xml:space="preserve">. </w:t>
      </w:r>
      <w:r w:rsidRPr="00D83F52">
        <w:rPr>
          <w:rFonts w:ascii="Times New Roman" w:hAnsi="Times New Roman" w:cs="Times New Roman"/>
          <w:sz w:val="28"/>
          <w:szCs w:val="28"/>
        </w:rPr>
        <w:lastRenderedPageBreak/>
        <w:t xml:space="preserve">Значительную роль в результативности игры Е. А. Аркин отводил педагогу, его искусству заинтересовать ребенка, правильно объяснить игру, распределить роли, подвести итог; при необходимости педагог успешно может подключиться к игре. В создание теории игры значительный вклад внесли ведущие русские педагоги и психологи. Вопросы теории и методики игры разрабатывались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Д.Б.Элькониным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, А. А. Леонтьевым, А.В.Запорожцем,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Н.Н.Поддъяковым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и др. В разработке содержания, организации и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методики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 подвижных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игрважную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роль сыграли работы А.И.Быковой, М.М.Конторович, Л.И.Михайловой, Т.И.Осокиной, Е.А.Тимофе</w:t>
      </w:r>
      <w:r w:rsidR="00D83F52">
        <w:rPr>
          <w:rFonts w:ascii="Times New Roman" w:hAnsi="Times New Roman" w:cs="Times New Roman"/>
          <w:sz w:val="28"/>
          <w:szCs w:val="28"/>
        </w:rPr>
        <w:t>евой, Л.В.Артамоновой и другими.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 Игровая деятельность возникает уже в 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преддошкольном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 возрасте. Для того чтобы игра малышей была полноценной, необходимо создавать для них педагогически целесообразную внешнюю обстановку, правильно подбирать игрушки. Дети второго года жизни очень подвижны. Для удовлетворения их потребности в движении необходимо иметь горку, скамейки, ящики и другие пособия. Детям должно быть предоставлено достаточно места, чтобы бегать, подниматься на ступеньки, сползать по скату горки и т.д., играть в прятки, догонялки. В играх детей старше полутора лет можно заметить признаки подражания взрослым. Учитывая это, воспитатель вовлекает детей в игры с помощью игрушки, старается разбудить в них интерес эмоциональным образным объяснением.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>В младших группах наиболее часто используются сюжетные игры и простейшие несюжетные игры типа «</w:t>
      </w:r>
      <w:proofErr w:type="spellStart"/>
      <w:r w:rsidRPr="00D83F52">
        <w:rPr>
          <w:rFonts w:ascii="Times New Roman" w:hAnsi="Times New Roman" w:cs="Times New Roman"/>
          <w:sz w:val="28"/>
          <w:szCs w:val="28"/>
        </w:rPr>
        <w:t>ловишек</w:t>
      </w:r>
      <w:proofErr w:type="spellEnd"/>
      <w:r w:rsidRPr="00D83F52">
        <w:rPr>
          <w:rFonts w:ascii="Times New Roman" w:hAnsi="Times New Roman" w:cs="Times New Roman"/>
          <w:sz w:val="28"/>
          <w:szCs w:val="28"/>
        </w:rPr>
        <w:t xml:space="preserve">», а также игры-забавы. Малышей привлекает в игре главным образом процесс действия: им интересно бежать, догонять, бросать и т.д. Важно научить ребенка действовать точно по сигналу, подчиняться простым правилам игры. Успех проведения игры в младшей группе зависит от воспитателя. Он должен заинтересовать детей, дать образцы движений. Ведущие роли в игре педагог выполняет сам или поручает наиболее активному ребенку, иногда готовит к этому кого-то из старших групп. При проведении сюжетных игр рекомендуется пользоваться методикой, которая обращена к воображению ребенка. С этой целью используют образные возможности сюжетного рассказа. Проводя игру, необходимо постоянно напоминать детям об игровом образе. Значительно оживляют игру различные атрибуты: головные уборы с изображением птичек, руль автомобиля. Для младшей группы рекомендуются игры с текстом. Такие игры воспитывают у детей чувство ритма. Дети, слушая воспитателя, стараются подражать его движениям. 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lastRenderedPageBreak/>
        <w:t>Педагог отмечает успехи детей в игре, воспитывает доброжелательность, формирует честность, справедливость, обращает внимание на качество движений, следит за тем, что бы они были легкими, красивыми, уверенными. Дети должны учиться ориентироваться в пространстве, проявлять выдержку, смелость, находчивость, творчески решать двигательные задачи. В играх необходимо ставить перед детьми задачи для самостоятельного решения. При умелом руководстве воспитателя подвижной игрой успешно формируется творческая активность детей: они придумывают варианты игры, новые сюжеты, более сложные игровые задания. Таким образом, подвижная игра — незаменимое средство пополнения ребенком знаний и представлений об окружающем мире, развития мышления, смекалки, ловкости, сноровки, ценных морально-волевых качеств.</w:t>
      </w:r>
    </w:p>
    <w:p w:rsid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 xml:space="preserve"> У детей всех возрастов огромная потребность в игре, и очень важно использовать подвижную игру не только для совершенствования</w:t>
      </w:r>
      <w:r w:rsidR="005B398D">
        <w:rPr>
          <w:rFonts w:ascii="Times New Roman" w:hAnsi="Times New Roman" w:cs="Times New Roman"/>
          <w:sz w:val="28"/>
          <w:szCs w:val="28"/>
        </w:rPr>
        <w:t xml:space="preserve"> </w:t>
      </w:r>
      <w:r w:rsidRPr="00D83F52">
        <w:rPr>
          <w:rFonts w:ascii="Times New Roman" w:hAnsi="Times New Roman" w:cs="Times New Roman"/>
          <w:sz w:val="28"/>
          <w:szCs w:val="28"/>
        </w:rPr>
        <w:t xml:space="preserve">двигательных навыков, но и для воспитания всех сторон личности ребенка. Продуманная методика проведения подвижных игр способствует раскрытию индивидуальных способностей ребенка, помогает воспитать его </w:t>
      </w:r>
      <w:proofErr w:type="gramStart"/>
      <w:r w:rsidRPr="00D83F52">
        <w:rPr>
          <w:rFonts w:ascii="Times New Roman" w:hAnsi="Times New Roman" w:cs="Times New Roman"/>
          <w:sz w:val="28"/>
          <w:szCs w:val="28"/>
        </w:rPr>
        <w:t>здоровым</w:t>
      </w:r>
      <w:proofErr w:type="gramEnd"/>
      <w:r w:rsidRPr="00D83F52">
        <w:rPr>
          <w:rFonts w:ascii="Times New Roman" w:hAnsi="Times New Roman" w:cs="Times New Roman"/>
          <w:sz w:val="28"/>
          <w:szCs w:val="28"/>
        </w:rPr>
        <w:t xml:space="preserve">, бодрым, жизнерадостным, активным, умеющим самостоятельно и творчески решать самые разнообразные задачи. </w:t>
      </w:r>
    </w:p>
    <w:p w:rsidR="0014649C" w:rsidRPr="00D83F52" w:rsidRDefault="003F0B59" w:rsidP="00D83F5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3F52">
        <w:rPr>
          <w:rFonts w:ascii="Times New Roman" w:hAnsi="Times New Roman" w:cs="Times New Roman"/>
          <w:sz w:val="28"/>
          <w:szCs w:val="28"/>
        </w:rPr>
        <w:t>Подвижную игру можно назвать важнейшим воспитательным институтом, способствующим развитию физических, умственных способностей, освоению нравственных норм, правил поведения, этических ценностей общества, совершенствуется эстетическое восприятие мира и готовят ребенка к труду</w:t>
      </w:r>
      <w:r w:rsidR="00D83F52">
        <w:rPr>
          <w:rFonts w:ascii="Times New Roman" w:hAnsi="Times New Roman" w:cs="Times New Roman"/>
          <w:sz w:val="28"/>
          <w:szCs w:val="28"/>
        </w:rPr>
        <w:t>.</w:t>
      </w:r>
    </w:p>
    <w:sectPr w:rsidR="0014649C" w:rsidRPr="00D83F52" w:rsidSect="002E0DB9">
      <w:footerReference w:type="default" r:id="rId7"/>
      <w:pgSz w:w="11906" w:h="16838"/>
      <w:pgMar w:top="1134" w:right="1134" w:bottom="1134" w:left="1134" w:header="709" w:footer="709" w:gutter="0"/>
      <w:pgBorders w:offsetFrom="page">
        <w:top w:val="triangleParty" w:sz="15" w:space="24" w:color="002060"/>
        <w:left w:val="triangleParty" w:sz="15" w:space="24" w:color="002060"/>
        <w:bottom w:val="triangleParty" w:sz="15" w:space="24" w:color="002060"/>
        <w:right w:val="triangleParty" w:sz="15" w:space="24" w:color="002060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3F52" w:rsidRDefault="00D83F52" w:rsidP="00D83F52">
      <w:pPr>
        <w:spacing w:after="0" w:line="240" w:lineRule="auto"/>
      </w:pPr>
      <w:r>
        <w:separator/>
      </w:r>
    </w:p>
  </w:endnote>
  <w:endnote w:type="continuationSeparator" w:id="1">
    <w:p w:rsidR="00D83F52" w:rsidRDefault="00D83F52" w:rsidP="00D8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6493"/>
      <w:docPartObj>
        <w:docPartGallery w:val="Page Numbers (Bottom of Page)"/>
        <w:docPartUnique/>
      </w:docPartObj>
    </w:sdtPr>
    <w:sdtContent>
      <w:p w:rsidR="00D83F52" w:rsidRDefault="003C1DD6">
        <w:pPr>
          <w:pStyle w:val="a5"/>
          <w:jc w:val="center"/>
        </w:pPr>
        <w:r>
          <w:fldChar w:fldCharType="begin"/>
        </w:r>
        <w:r w:rsidR="003E701E">
          <w:instrText xml:space="preserve"> PAGE   \* MERGEFORMAT </w:instrText>
        </w:r>
        <w:r>
          <w:fldChar w:fldCharType="separate"/>
        </w:r>
        <w:r w:rsidR="005B39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3F52" w:rsidRDefault="00D83F5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3F52" w:rsidRDefault="00D83F52" w:rsidP="00D83F52">
      <w:pPr>
        <w:spacing w:after="0" w:line="240" w:lineRule="auto"/>
      </w:pPr>
      <w:r>
        <w:separator/>
      </w:r>
    </w:p>
  </w:footnote>
  <w:footnote w:type="continuationSeparator" w:id="1">
    <w:p w:rsidR="00D83F52" w:rsidRDefault="00D83F52" w:rsidP="00D83F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0B59"/>
    <w:rsid w:val="0010624B"/>
    <w:rsid w:val="00116528"/>
    <w:rsid w:val="0014649C"/>
    <w:rsid w:val="002E0DB9"/>
    <w:rsid w:val="003C1DD6"/>
    <w:rsid w:val="003E701E"/>
    <w:rsid w:val="003F0B59"/>
    <w:rsid w:val="005B398D"/>
    <w:rsid w:val="006360F2"/>
    <w:rsid w:val="00722A3F"/>
    <w:rsid w:val="00A43C93"/>
    <w:rsid w:val="00B208D1"/>
    <w:rsid w:val="00D83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3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83F52"/>
  </w:style>
  <w:style w:type="paragraph" w:styleId="a5">
    <w:name w:val="footer"/>
    <w:basedOn w:val="a"/>
    <w:link w:val="a6"/>
    <w:uiPriority w:val="99"/>
    <w:unhideWhenUsed/>
    <w:rsid w:val="00D83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3F52"/>
  </w:style>
  <w:style w:type="paragraph" w:styleId="a7">
    <w:name w:val="No Spacing"/>
    <w:link w:val="a8"/>
    <w:uiPriority w:val="1"/>
    <w:qFormat/>
    <w:rsid w:val="00B208D1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uiPriority w:val="1"/>
    <w:rsid w:val="00B208D1"/>
  </w:style>
  <w:style w:type="paragraph" w:styleId="a9">
    <w:name w:val="Balloon Text"/>
    <w:basedOn w:val="a"/>
    <w:link w:val="aa"/>
    <w:uiPriority w:val="99"/>
    <w:semiHidden/>
    <w:unhideWhenUsed/>
    <w:rsid w:val="00B2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8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8DC6156AF245779DF01145E36C98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558C0-DF6E-4E83-8637-5A590F3CA026}"/>
      </w:docPartPr>
      <w:docPartBody>
        <w:p w:rsidR="00713B05" w:rsidRDefault="006970F6" w:rsidP="006970F6">
          <w:pPr>
            <w:pStyle w:val="4D8DC6156AF245779DF01145E36C98AE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CEE628D21D24436681B6A58C23F31B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D73402-9E2E-4942-ADB3-67A0EAD08064}"/>
      </w:docPartPr>
      <w:docPartBody>
        <w:p w:rsidR="00713B05" w:rsidRDefault="006970F6" w:rsidP="006970F6">
          <w:pPr>
            <w:pStyle w:val="CEE628D21D24436681B6A58C23F31B55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5C3CCE7EC37D44F5BB5E9846B92BC3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61BD57-FE6A-4F9D-9EE8-59F4895BA8A3}"/>
      </w:docPartPr>
      <w:docPartBody>
        <w:p w:rsidR="00713B05" w:rsidRDefault="006970F6" w:rsidP="006970F6">
          <w:pPr>
            <w:pStyle w:val="5C3CCE7EC37D44F5BB5E9846B92BC329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970F6"/>
    <w:rsid w:val="006970F6"/>
    <w:rsid w:val="00713B05"/>
    <w:rsid w:val="007D7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8DC6156AF245779DF01145E36C98AE">
    <w:name w:val="4D8DC6156AF245779DF01145E36C98AE"/>
    <w:rsid w:val="006970F6"/>
  </w:style>
  <w:style w:type="paragraph" w:customStyle="1" w:styleId="CEE628D21D24436681B6A58C23F31B55">
    <w:name w:val="CEE628D21D24436681B6A58C23F31B55"/>
    <w:rsid w:val="006970F6"/>
  </w:style>
  <w:style w:type="paragraph" w:customStyle="1" w:styleId="5C3CCE7EC37D44F5BB5E9846B92BC329">
    <w:name w:val="5C3CCE7EC37D44F5BB5E9846B92BC329"/>
    <w:rsid w:val="006970F6"/>
  </w:style>
  <w:style w:type="paragraph" w:customStyle="1" w:styleId="5E8DBD172A2849F89768F673EDCB2962">
    <w:name w:val="5E8DBD172A2849F89768F673EDCB2962"/>
    <w:rsid w:val="006970F6"/>
  </w:style>
  <w:style w:type="paragraph" w:customStyle="1" w:styleId="6C3C0BF5B7E247A28BD1306F4604333E">
    <w:name w:val="6C3C0BF5B7E247A28BD1306F4604333E"/>
    <w:rsid w:val="006970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Павловск 2020г.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1714</Words>
  <Characters>9773</Characters>
  <Application>Microsoft Office Word</Application>
  <DocSecurity>0</DocSecurity>
  <Lines>81</Lines>
  <Paragraphs>22</Paragraphs>
  <ScaleCrop>false</ScaleCrop>
  <Company> Консультация для родителей</Company>
  <LinksUpToDate>false</LinksUpToDate>
  <CharactersWithSpaces>11465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«Подвижная игра как средство всестороннего развития личности ребенка»</dc:title>
  <dc:subject> Подготовил: педагог-психолог Ильиных И.А. </dc:subject>
  <dc:creator/>
  <cp:keywords/>
  <dc:description/>
  <cp:lastModifiedBy>Пользователь</cp:lastModifiedBy>
  <cp:revision>10</cp:revision>
  <dcterms:created xsi:type="dcterms:W3CDTF">2016-03-13T15:27:00Z</dcterms:created>
  <dcterms:modified xsi:type="dcterms:W3CDTF">2020-10-06T08:02:00Z</dcterms:modified>
</cp:coreProperties>
</file>